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5D" w:rsidRPr="00C164F1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Приложение №2</w:t>
      </w:r>
    </w:p>
    <w:p w:rsidR="0029355D" w:rsidRPr="00C164F1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29355D" w:rsidRPr="004449F1" w:rsidRDefault="004449F1" w:rsidP="0029355D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4449F1">
        <w:rPr>
          <w:sz w:val="28"/>
          <w:szCs w:val="28"/>
          <w:u w:val="single"/>
        </w:rPr>
        <w:t>29.06.2017</w:t>
      </w:r>
      <w:r>
        <w:rPr>
          <w:sz w:val="28"/>
          <w:szCs w:val="28"/>
        </w:rPr>
        <w:t xml:space="preserve">  №  </w:t>
      </w:r>
      <w:r w:rsidRPr="004449F1">
        <w:rPr>
          <w:sz w:val="28"/>
          <w:szCs w:val="28"/>
          <w:u w:val="single"/>
        </w:rPr>
        <w:t>606-п</w:t>
      </w:r>
    </w:p>
    <w:p w:rsidR="00BB125A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4.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четверг: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пятница: ___________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_;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>с 13.00 до 14.00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sz w:val="28"/>
          <w:szCs w:val="28"/>
        </w:rPr>
        <w:t>;</w:t>
      </w:r>
      <w:proofErr w:type="gramEnd"/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C164F1">
        <w:rPr>
          <w:color w:val="44546A"/>
          <w:sz w:val="28"/>
          <w:szCs w:val="28"/>
        </w:rPr>
        <w:t xml:space="preserve">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/>
          <w:sz w:val="28"/>
          <w:szCs w:val="28"/>
          <w:u w:val="single"/>
        </w:rPr>
        <w:t>.р</w:t>
      </w:r>
      <w:proofErr w:type="gramEnd"/>
      <w:r w:rsidRPr="00C164F1">
        <w:rPr>
          <w:color w:val="44546A"/>
          <w:sz w:val="28"/>
          <w:szCs w:val="28"/>
          <w:u w:val="single"/>
        </w:rPr>
        <w:t>ф</w:t>
      </w:r>
      <w:proofErr w:type="spellEnd"/>
      <w:r w:rsidRPr="00C164F1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Тюльганского района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color w:val="44546A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администрации Тюльганского района Оренбургской области.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 w:rsidDel="00E32B8C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29355D" w:rsidRPr="00C164F1" w:rsidRDefault="0029355D" w:rsidP="002935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Pr="00C164F1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C164F1" w:rsidDel="00E32B8C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 xml:space="preserve"> (далее – орган местного самоуправления).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  <w:shd w:val="clear" w:color="auto" w:fill="FFFFFF"/>
        </w:rPr>
      </w:pPr>
      <w:r w:rsidRPr="00C164F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</w:rPr>
        <w:lastRenderedPageBreak/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 </w:t>
      </w:r>
      <w:r w:rsidRPr="00C164F1">
        <w:rPr>
          <w:sz w:val="28"/>
          <w:szCs w:val="28"/>
        </w:rPr>
        <w:t xml:space="preserve"> органа местного самоуправления.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                (наименование структурного подразделения) 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17. Результатом предоставления муниципальной услуги является: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0E1A92">
        <w:rPr>
          <w:sz w:val="28"/>
          <w:szCs w:val="28"/>
        </w:rPr>
        <w:t>от 1</w:t>
      </w:r>
      <w:r w:rsidRPr="00C164F1">
        <w:rPr>
          <w:sz w:val="28"/>
          <w:szCs w:val="28"/>
        </w:rPr>
        <w:t>2.12.1993;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Федерации от 29.12.2004 № 190-ФЗ;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5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0E1A92" w:rsidRPr="000E1A92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7) Федеральным законом от 27.07.2006 № 152-ФЗ «О персональных данных»;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6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29355D" w:rsidRPr="00C164F1" w:rsidRDefault="0029355D" w:rsidP="002935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0E1A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0E1A92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</w:t>
      </w:r>
      <w:r w:rsidR="000E1A92">
        <w:rPr>
          <w:sz w:val="28"/>
          <w:szCs w:val="28"/>
        </w:rPr>
        <w:t>.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29355D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0E1A92" w:rsidRDefault="000E1A92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29355D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0E1A92" w:rsidRPr="00C164F1" w:rsidRDefault="000E1A92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</w:t>
      </w:r>
      <w:r w:rsidRPr="00C164F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9355D" w:rsidRPr="00C164F1" w:rsidRDefault="0029355D" w:rsidP="0029355D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164F1">
        <w:rPr>
          <w:sz w:val="28"/>
          <w:szCs w:val="28"/>
          <w:lang w:val="en-US"/>
        </w:rPr>
        <w:t>pdf</w:t>
      </w:r>
      <w:proofErr w:type="spellEnd"/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отказа в приёме документов,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31. После устранения причин, послуживших основанием для отказа в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29355D" w:rsidRDefault="0029355D" w:rsidP="0029355D">
      <w:pPr>
        <w:pStyle w:val="ConsPlusNormal"/>
        <w:ind w:firstLine="709"/>
        <w:rPr>
          <w:sz w:val="28"/>
          <w:szCs w:val="28"/>
        </w:rPr>
      </w:pPr>
      <w:r w:rsidRPr="00C164F1" w:rsidDel="00DB0A20">
        <w:rPr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дня с момента его поступления.</w:t>
      </w:r>
    </w:p>
    <w:p w:rsidR="000E1A92" w:rsidRPr="00C164F1" w:rsidRDefault="000E1A92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режима работы.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 регистрация;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7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8" w:history="1">
        <w:r w:rsidRPr="00C164F1">
          <w:rPr>
            <w:rFonts w:eastAsiaTheme="minorHAnsi"/>
            <w:sz w:val="28"/>
            <w:szCs w:val="28"/>
            <w:lang w:eastAsia="en-US"/>
          </w:rPr>
          <w:t>пункте 20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92" w:rsidRDefault="000E1A92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осуществляется в течение 2-х дней со дня получения заявления о предоставлении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C164F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61. </w:t>
      </w:r>
      <w:r w:rsidRPr="00C164F1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9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64. </w:t>
      </w:r>
      <w:r w:rsidRPr="00C164F1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в сроки и в порядке, установленном для официального опубликования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67.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72.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29355D" w:rsidRPr="00C164F1" w:rsidRDefault="0029355D" w:rsidP="002935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77. Текущий контроль за соблюдением последовательности действий, определённых административными процедурами, и принятием решений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Контроль пол</w:t>
      </w:r>
      <w:r w:rsidR="00A27303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C164F1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4A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29355D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A7360" w:rsidRPr="00C164F1" w:rsidRDefault="004A7360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86. Жалоба должна содержать: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355D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360" w:rsidRPr="00C164F1" w:rsidRDefault="004A7360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87. Жалоба рассматривается органом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0" w:history="1">
        <w:r w:rsidRPr="00C164F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29355D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A7360" w:rsidRPr="00C164F1" w:rsidRDefault="004A7360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88. Жалоба подаётся в письменной форме на бумажном носителе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4A7360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4A7360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4A73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___</w:t>
      </w:r>
      <w:r w:rsidRPr="00C164F1">
        <w:rPr>
          <w:color w:val="44546A" w:themeColor="text2"/>
          <w:sz w:val="28"/>
          <w:szCs w:val="28"/>
          <w:u w:val="single"/>
        </w:rPr>
        <w:t xml:space="preserve"> tu@mail.orb.ru</w:t>
      </w:r>
      <w:r w:rsidRPr="00C164F1">
        <w:rPr>
          <w:rFonts w:eastAsiaTheme="minorHAnsi"/>
          <w:sz w:val="28"/>
          <w:szCs w:val="28"/>
          <w:lang w:eastAsia="en-US"/>
        </w:rPr>
        <w:t>___;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4A73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A7360">
        <w:rPr>
          <w:rFonts w:eastAsiaTheme="minorHAnsi"/>
          <w:sz w:val="28"/>
          <w:szCs w:val="28"/>
          <w:lang w:eastAsia="en-US"/>
        </w:rPr>
        <w:t>____</w:t>
      </w:r>
      <w:r w:rsidRPr="00C164F1">
        <w:rPr>
          <w:color w:val="44546A" w:themeColor="text2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 w:themeColor="text2"/>
          <w:sz w:val="28"/>
          <w:szCs w:val="28"/>
          <w:u w:val="single"/>
        </w:rPr>
        <w:t>.р</w:t>
      </w:r>
      <w:proofErr w:type="gramEnd"/>
      <w:r w:rsidRPr="00C164F1">
        <w:rPr>
          <w:color w:val="44546A" w:themeColor="text2"/>
          <w:sz w:val="28"/>
          <w:szCs w:val="28"/>
          <w:u w:val="single"/>
        </w:rPr>
        <w:t>ф</w:t>
      </w:r>
      <w:r w:rsidRPr="00C164F1">
        <w:rPr>
          <w:rFonts w:eastAsiaTheme="minorHAnsi"/>
          <w:sz w:val="28"/>
          <w:szCs w:val="28"/>
          <w:lang w:eastAsia="en-US"/>
        </w:rPr>
        <w:t>_____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>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C164F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   Сроки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C164F1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C164F1">
        <w:rPr>
          <w:rFonts w:eastAsiaTheme="minorHAnsi"/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98. </w:t>
      </w:r>
      <w:r w:rsidRPr="00C164F1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0197F" w:rsidRPr="00C164F1" w:rsidRDefault="0000197F" w:rsidP="0029355D">
      <w:pPr>
        <w:ind w:left="7371" w:hanging="1417"/>
        <w:rPr>
          <w:sz w:val="28"/>
          <w:szCs w:val="28"/>
        </w:rPr>
      </w:pPr>
    </w:p>
    <w:p w:rsidR="0000197F" w:rsidRDefault="0000197F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Pr="00C164F1" w:rsidRDefault="004A7360" w:rsidP="0029355D">
      <w:pPr>
        <w:ind w:left="7371" w:hanging="1417"/>
        <w:rPr>
          <w:sz w:val="28"/>
          <w:szCs w:val="28"/>
        </w:rPr>
      </w:pP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Приложение №1</w:t>
      </w: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от «____» ________________20__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4A736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</w:t>
      </w:r>
      <w:r w:rsidRPr="00C164F1">
        <w:rPr>
          <w:sz w:val="28"/>
          <w:szCs w:val="28"/>
        </w:rPr>
        <w:lastRenderedPageBreak/>
        <w:t>____________________</w:t>
      </w:r>
      <w:r w:rsidR="0000197F" w:rsidRPr="00C164F1">
        <w:rPr>
          <w:sz w:val="28"/>
          <w:szCs w:val="28"/>
        </w:rPr>
        <w:t>______________</w:t>
      </w:r>
      <w:r w:rsidRPr="00C164F1">
        <w:rPr>
          <w:sz w:val="28"/>
          <w:szCs w:val="28"/>
        </w:rPr>
        <w:t>____________________________________________________</w:t>
      </w:r>
      <w:r w:rsidR="0000197F" w:rsidRPr="00C164F1">
        <w:rPr>
          <w:sz w:val="28"/>
          <w:szCs w:val="28"/>
        </w:rPr>
        <w:t>_________________________</w:t>
      </w:r>
      <w:r w:rsidR="004A7360">
        <w:rPr>
          <w:sz w:val="28"/>
          <w:szCs w:val="28"/>
        </w:rPr>
        <w:t>_____________________</w:t>
      </w:r>
    </w:p>
    <w:p w:rsidR="0029355D" w:rsidRPr="004A7360" w:rsidRDefault="0029355D" w:rsidP="0000197F">
      <w:pPr>
        <w:jc w:val="center"/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</w:t>
      </w:r>
      <w:r w:rsidR="004A7360">
        <w:rPr>
          <w:sz w:val="28"/>
          <w:szCs w:val="28"/>
        </w:rPr>
        <w:t>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360">
        <w:rPr>
          <w:sz w:val="28"/>
          <w:szCs w:val="28"/>
        </w:rPr>
        <w:t>_________________________________</w:t>
      </w:r>
      <w:r w:rsidRPr="00C164F1">
        <w:rPr>
          <w:sz w:val="28"/>
          <w:szCs w:val="28"/>
        </w:rPr>
        <w:t>___</w:t>
      </w:r>
      <w:r w:rsidR="0000197F" w:rsidRPr="00C164F1">
        <w:rPr>
          <w:sz w:val="28"/>
          <w:szCs w:val="28"/>
        </w:rPr>
        <w:t>____________</w:t>
      </w:r>
      <w:r w:rsidRPr="00C164F1">
        <w:rPr>
          <w:sz w:val="28"/>
          <w:szCs w:val="28"/>
        </w:rPr>
        <w:t xml:space="preserve">, 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расположенного по адресу: ___________________________</w:t>
      </w:r>
      <w:r w:rsidR="004A7360">
        <w:rPr>
          <w:sz w:val="28"/>
          <w:szCs w:val="28"/>
        </w:rPr>
        <w:t>_______________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опись прилагаемых к заявлению документов на ___ листах.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</w:t>
      </w:r>
      <w:r w:rsidR="0000197F"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t xml:space="preserve"> __</w:t>
      </w:r>
      <w:r w:rsidR="004A7360">
        <w:rPr>
          <w:sz w:val="28"/>
          <w:szCs w:val="28"/>
        </w:rPr>
        <w:t>______________________________</w:t>
      </w:r>
    </w:p>
    <w:p w:rsidR="0029355D" w:rsidRPr="004A7360" w:rsidRDefault="0029355D" w:rsidP="0029355D">
      <w:pPr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 xml:space="preserve">      (дата)                         </w:t>
      </w:r>
      <w:r w:rsidR="0000197F" w:rsidRPr="004A7360">
        <w:rPr>
          <w:sz w:val="28"/>
          <w:szCs w:val="28"/>
          <w:vertAlign w:val="superscript"/>
        </w:rPr>
        <w:t xml:space="preserve">             </w:t>
      </w:r>
      <w:r w:rsidR="004A7360">
        <w:rPr>
          <w:sz w:val="28"/>
          <w:szCs w:val="28"/>
          <w:vertAlign w:val="superscript"/>
        </w:rPr>
        <w:t xml:space="preserve">      </w:t>
      </w:r>
      <w:r w:rsidR="0000197F" w:rsidRPr="004A7360">
        <w:rPr>
          <w:sz w:val="28"/>
          <w:szCs w:val="28"/>
          <w:vertAlign w:val="superscript"/>
        </w:rPr>
        <w:t xml:space="preserve"> </w:t>
      </w:r>
      <w:r w:rsidRPr="004A7360">
        <w:rPr>
          <w:sz w:val="28"/>
          <w:szCs w:val="28"/>
          <w:vertAlign w:val="superscript"/>
        </w:rPr>
        <w:t xml:space="preserve">    (подпись заявителя)    </w:t>
      </w:r>
      <w:r w:rsidR="0000197F" w:rsidRPr="004A7360">
        <w:rPr>
          <w:sz w:val="28"/>
          <w:szCs w:val="28"/>
          <w:vertAlign w:val="superscript"/>
        </w:rPr>
        <w:t xml:space="preserve">                </w:t>
      </w:r>
      <w:r w:rsidRPr="004A7360">
        <w:rPr>
          <w:sz w:val="28"/>
          <w:szCs w:val="28"/>
          <w:vertAlign w:val="superscript"/>
        </w:rPr>
        <w:t xml:space="preserve">    (расшифровка подписи заявителя)</w:t>
      </w: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лично,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2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(нужное подчеркнуть).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355D" w:rsidRPr="00C164F1" w:rsidRDefault="0029355D" w:rsidP="005D1913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</w:t>
      </w:r>
      <w:r w:rsidR="004A7360">
        <w:rPr>
          <w:sz w:val="28"/>
          <w:szCs w:val="28"/>
        </w:rPr>
        <w:t>___________________________</w:t>
      </w:r>
    </w:p>
    <w:p w:rsidR="0029355D" w:rsidRPr="004A7360" w:rsidRDefault="004A7360" w:rsidP="0029355D">
      <w:pPr>
        <w:ind w:left="708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5D" w:rsidRPr="004A7360">
        <w:rPr>
          <w:sz w:val="28"/>
          <w:szCs w:val="28"/>
          <w:vertAlign w:val="superscript"/>
        </w:rPr>
        <w:t>(</w:t>
      </w:r>
      <w:r w:rsidR="0029355D" w:rsidRPr="004A736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</w:t>
      </w:r>
      <w:r w:rsidR="004A7360">
        <w:rPr>
          <w:sz w:val="28"/>
          <w:szCs w:val="28"/>
        </w:rPr>
        <w:t>________________________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</w:t>
      </w:r>
      <w:r w:rsidR="004A7360">
        <w:rPr>
          <w:sz w:val="28"/>
          <w:szCs w:val="28"/>
        </w:rPr>
        <w:t>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 2</w:t>
      </w: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к административному регламенту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00197F" w:rsidRPr="00C164F1" w:rsidRDefault="0000197F" w:rsidP="0000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Блок-схема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00197F" w:rsidRPr="00C164F1" w:rsidRDefault="0000197F" w:rsidP="0000197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8" type="#_x0000_t32" style="position:absolute;left:0;text-align:left;margin-left:387.45pt;margin-top:.6pt;width:0;height:30pt;z-index:25167462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5" o:spid="_x0000_s1037" type="#_x0000_t32" style="position:absolute;left:0;text-align:left;margin-left:234.45pt;margin-top:.6pt;width:0;height:30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hGw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BT9IhhGwIAAOo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6" o:spid="_x0000_s1036" type="#_x0000_t32" style="position:absolute;left:0;text-align:left;margin-left:67.2pt;margin-top:.6pt;width:.75pt;height:30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E614QQjAgAA9w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2942" w:type="dxa"/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7" o:spid="_x0000_s1035" type="#_x0000_t32" style="position:absolute;left:0;text-align:left;margin-left:140.7pt;margin-top:15.55pt;width:21.7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GWfp0HQIAAO0DAAAOAAAAAAAAAAAAAAAAAC4CAABkcnMvZTJvRG9jLnhtbFBL&#10;AQItABQABgAIAAAAIQBRYAWr4AAAAAk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8" o:spid="_x0000_s1034" type="#_x0000_t32" style="position:absolute;left:0;text-align:left;margin-left:135pt;margin-top:15.55pt;width:22.5pt;height:0;flip:x;z-index:251677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rlBKDyMCAAD0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9" o:spid="_x0000_s1033" type="#_x0000_t32" style="position:absolute;left:0;text-align:left;margin-left:234.45pt;margin-top:-.25pt;width:0;height:31.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YHQIAAOo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egw8Y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0" o:spid="_x0000_s1032" type="#_x0000_t32" style="position:absolute;left:0;text-align:left;margin-left:234.45pt;margin-top:-.3pt;width:0;height:30.75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ZD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LuYGQxsCAADqAwAADgAAAAAAAAAAAAAAAAAuAgAAZHJzL2Uyb0RvYy54bWxQSwECLQAU&#10;AAYACAAAACEAIWVZ6d0AAAAIAQAADwAAAAAAAAAAAAAAAAB1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1" o:spid="_x0000_s1031" type="#_x0000_t32" style="position:absolute;left:0;text-align:left;margin-left:234.45pt;margin-top:.55pt;width:0;height:30pt;z-index:2516797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sHAIAAOo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DBReb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00197F" w:rsidRPr="00C164F1" w:rsidRDefault="0000197F" w:rsidP="005D19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2" o:spid="_x0000_s1030" type="#_x0000_t32" style="position:absolute;left:0;text-align:left;margin-left:351.45pt;margin-top:-.3pt;width:.75pt;height:31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3" o:spid="_x0000_s1029" type="#_x0000_t32" style="position:absolute;left:0;text-align:left;margin-left:109.95pt;margin-top:-.3pt;width:0;height:31.5pt;z-index:2516807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10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p5S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PhT10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4502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511E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4" o:spid="_x0000_s1028" type="#_x0000_t32" style="position:absolute;left:0;text-align:left;margin-left:351.45pt;margin-top:.6pt;width:.75pt;height:3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m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eTM0oUNLij7nN/0992P7sv/S3pP3Z3ePSf+pvua/ej+97ddd8IPsbJtcZlCLBUVzZw&#10;Zzt1bS41e+8wljwIhoszw7NdaZvwHMmTXdzE/rQJvvOEoXM2nUwpYRh4OkuDHRAhO6Ya6/xLrhsS&#10;jJw6b0FUtV9qpXDj2o7jLmB76fyQeEwIdZVeCynRD5lUpD0VA5RfKcFj3cbgQJyqKAFZoa6ZtxHR&#10;aSmKkB2Sna02S2nJFlBb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4sqGY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5" o:spid="_x0000_s1027" type="#_x0000_t32" style="position:absolute;left:0;text-align:left;margin-left:109.95pt;margin-top:.6pt;width:0;height:30.75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00197F" w:rsidRPr="00C164F1" w:rsidRDefault="0000197F" w:rsidP="005D191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00197F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CE"/>
    <w:rsid w:val="0000197F"/>
    <w:rsid w:val="000E1A92"/>
    <w:rsid w:val="0014091D"/>
    <w:rsid w:val="00194903"/>
    <w:rsid w:val="001E1DAE"/>
    <w:rsid w:val="0029355D"/>
    <w:rsid w:val="003A5C48"/>
    <w:rsid w:val="003F6132"/>
    <w:rsid w:val="004449F1"/>
    <w:rsid w:val="004A7360"/>
    <w:rsid w:val="00511E8B"/>
    <w:rsid w:val="00544BA5"/>
    <w:rsid w:val="0058667B"/>
    <w:rsid w:val="005D1913"/>
    <w:rsid w:val="006D3DCE"/>
    <w:rsid w:val="00712602"/>
    <w:rsid w:val="00A07FBA"/>
    <w:rsid w:val="00A27303"/>
    <w:rsid w:val="00A56604"/>
    <w:rsid w:val="00BB125A"/>
    <w:rsid w:val="00C164F1"/>
    <w:rsid w:val="00C7429D"/>
    <w:rsid w:val="00CE6DB3"/>
    <w:rsid w:val="00CF36F0"/>
    <w:rsid w:val="00D50221"/>
    <w:rsid w:val="00EE5EBA"/>
    <w:rsid w:val="00F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Прямая со стрелкой 19"/>
        <o:r id="V:Rule31" type="connector" idref="#Прямая со стрелкой 20"/>
        <o:r id="V:Rule35" type="connector" idref="#Прямая со стрелкой 22"/>
        <o:r id="V:Rule36" type="connector" idref="#Прямая со стрелкой 21"/>
        <o:r id="V:Rule38" type="connector" idref="#Прямая со стрелкой 23"/>
        <o:r id="V:Rule39" type="connector" idref="#Прямая со стрелкой 5"/>
        <o:r id="V:Rule41" type="connector" idref="#Прямая со стрелкой 24"/>
        <o:r id="V:Rule42" type="connector" idref="#Прямая со стрелкой 18"/>
        <o:r id="V:Rule44" type="connector" idref="#Прямая со стрелкой 17"/>
        <o:r id="V:Rule46" type="connector" idref="#Прямая со стрелкой 15"/>
        <o:r id="V:Rule47" type="connector" idref="#Прямая со стрелкой 25"/>
        <o:r id="V:Rule4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9D7DBA3852382E6B7FA83BF18DF72FD6963E1F8A7C296E152B63705o6g5J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SSD</cp:lastModifiedBy>
  <cp:revision>2</cp:revision>
  <cp:lastPrinted>2017-06-07T10:46:00Z</cp:lastPrinted>
  <dcterms:created xsi:type="dcterms:W3CDTF">2017-07-17T09:53:00Z</dcterms:created>
  <dcterms:modified xsi:type="dcterms:W3CDTF">2017-07-17T09:53:00Z</dcterms:modified>
</cp:coreProperties>
</file>