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0" w:rsidRPr="000C47C0" w:rsidRDefault="000C47C0" w:rsidP="000C47C0">
      <w:pPr>
        <w:pStyle w:val="a7"/>
        <w:shd w:val="clear" w:color="auto" w:fill="auto"/>
        <w:spacing w:line="240" w:lineRule="exact"/>
        <w:jc w:val="center"/>
        <w:rPr>
          <w:b/>
          <w:color w:val="000000"/>
          <w:sz w:val="24"/>
          <w:szCs w:val="24"/>
          <w:lang w:eastAsia="ru-RU" w:bidi="ru-RU"/>
        </w:rPr>
      </w:pPr>
      <w:r w:rsidRPr="000C47C0">
        <w:rPr>
          <w:b/>
          <w:color w:val="000000"/>
          <w:sz w:val="24"/>
          <w:szCs w:val="24"/>
          <w:lang w:eastAsia="ru-RU" w:bidi="ru-RU"/>
        </w:rPr>
        <w:t>О некоторых вопросах в сфере защиты</w:t>
      </w:r>
      <w:r w:rsidRPr="000C47C0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0C47C0">
        <w:rPr>
          <w:b/>
          <w:color w:val="000000"/>
          <w:sz w:val="24"/>
          <w:szCs w:val="24"/>
          <w:lang w:eastAsia="ru-RU" w:bidi="ru-RU"/>
        </w:rPr>
        <w:t>прав потребителей</w:t>
      </w:r>
    </w:p>
    <w:p w:rsidR="000C47C0" w:rsidRDefault="000C47C0" w:rsidP="000C47C0">
      <w:pPr>
        <w:pStyle w:val="a7"/>
        <w:shd w:val="clear" w:color="auto" w:fill="auto"/>
        <w:spacing w:line="240" w:lineRule="exact"/>
        <w:jc w:val="center"/>
      </w:pPr>
    </w:p>
    <w:p w:rsidR="000C47C0" w:rsidRDefault="000C47C0" w:rsidP="000C47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0"/>
        </w:tabs>
        <w:ind w:firstLine="36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Что такое обман потребителя?</w:t>
      </w:r>
      <w:bookmarkEnd w:id="0"/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  <w:rPr>
          <w:color w:val="000000"/>
          <w:sz w:val="24"/>
          <w:szCs w:val="24"/>
          <w:lang w:eastAsia="ru-RU" w:bidi="ru-RU"/>
        </w:rPr>
      </w:pPr>
      <w:r>
        <w:rPr>
          <w:rStyle w:val="a8"/>
        </w:rPr>
        <w:t xml:space="preserve">Ответ: </w:t>
      </w:r>
      <w:r>
        <w:rPr>
          <w:color w:val="000000"/>
          <w:sz w:val="24"/>
          <w:szCs w:val="24"/>
          <w:lang w:eastAsia="ru-RU" w:bidi="ru-RU"/>
        </w:rPr>
        <w:t>Обман потребителя - это обмеривание, обвешивание, обсчет, введение в заблуждение относительно качества товара и другие противоправные действия, нарушающие его права.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</w:p>
    <w:p w:rsidR="000C47C0" w:rsidRDefault="000C47C0" w:rsidP="000C47C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53"/>
        </w:tabs>
        <w:ind w:firstLine="360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Формы обмана потребителя</w:t>
      </w:r>
      <w:bookmarkEnd w:id="1"/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Существует несколько форм обмана потребителя, в частности (ст. 14.7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 АП РФ; </w:t>
      </w:r>
      <w:proofErr w:type="spellStart"/>
      <w:r>
        <w:rPr>
          <w:color w:val="000000"/>
          <w:sz w:val="24"/>
          <w:szCs w:val="24"/>
          <w:lang w:eastAsia="ru-RU" w:bidi="ru-RU"/>
        </w:rPr>
        <w:t>пп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4, 5 п. 1 разд. IV Обзора правоприменительной практики контрольно-надзорной деятельности </w:t>
      </w:r>
      <w:proofErr w:type="spellStart"/>
      <w:r>
        <w:rPr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за 2017 год; п. 4 Обзора судебной практики Верховного Суда Российской Федерации N 4 (2017), утв. Президиумом Верховного Суда РФ 15.11.2017):</w:t>
      </w:r>
    </w:p>
    <w:p w:rsidR="000C47C0" w:rsidRDefault="000C47C0" w:rsidP="000C47C0">
      <w:pPr>
        <w:pStyle w:val="2"/>
        <w:numPr>
          <w:ilvl w:val="0"/>
          <w:numId w:val="2"/>
        </w:numPr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 обмеривание - отпуск товара меньшего размера, чем определено договором купли-продажи;</w:t>
      </w:r>
    </w:p>
    <w:p w:rsidR="000C47C0" w:rsidRDefault="000C47C0" w:rsidP="000C47C0">
      <w:pPr>
        <w:pStyle w:val="2"/>
        <w:numPr>
          <w:ilvl w:val="0"/>
          <w:numId w:val="2"/>
        </w:numPr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 обвешивание - отпуск товара меньшего веса (объема), чем определено договором купли-продажи;</w:t>
      </w:r>
    </w:p>
    <w:p w:rsidR="000C47C0" w:rsidRDefault="000C47C0" w:rsidP="000C47C0">
      <w:pPr>
        <w:pStyle w:val="2"/>
        <w:numPr>
          <w:ilvl w:val="0"/>
          <w:numId w:val="2"/>
        </w:numPr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обсчет - взимание большей суммы, чем определено ценой товара (работы, услуги), предусмотренной договором купли-продажи, или реализация товара (работы, услуги) по цене, завышенной относительно цены, указанной на ценнике или маркировке товара (работы, услуги) или установленной уполномоченными государственными органами.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Также обсчет имеет место при утаивании (невозврате) излишней суммы, полученной от потребителя, или передаче ему только части этой суммы;</w:t>
      </w:r>
    </w:p>
    <w:p w:rsidR="000C47C0" w:rsidRDefault="000C47C0" w:rsidP="000C47C0">
      <w:pPr>
        <w:pStyle w:val="2"/>
        <w:numPr>
          <w:ilvl w:val="0"/>
          <w:numId w:val="2"/>
        </w:numPr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 введение в заблуждение относительно потребительских свойств или качества товара (работы, услуги) - продажа либо передача товаров (выполнение работ, оказание услуг) с нарушением требования об указании потребительских свойств или указание недостоверных сведений о потребительских свойствах или качестве продукции. Также сюда можно отнести злоупотребление доверием потребителя при предоставлении ему информации о товаре;</w:t>
      </w:r>
    </w:p>
    <w:p w:rsidR="000C47C0" w:rsidRDefault="000C47C0" w:rsidP="000C47C0">
      <w:pPr>
        <w:pStyle w:val="2"/>
        <w:numPr>
          <w:ilvl w:val="0"/>
          <w:numId w:val="2"/>
        </w:numPr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 иной обман потребителей - нарушение других условий договора купл</w:t>
      </w:r>
      <w:proofErr w:type="gramStart"/>
      <w:r>
        <w:rPr>
          <w:color w:val="000000"/>
          <w:sz w:val="24"/>
          <w:szCs w:val="24"/>
          <w:lang w:eastAsia="ru-RU" w:bidi="ru-RU"/>
        </w:rPr>
        <w:t>и-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продажи, например реализация фальсифицированных товаров, реализация</w:t>
      </w:r>
    </w:p>
    <w:p w:rsidR="000C47C0" w:rsidRDefault="000C47C0" w:rsidP="000C47C0">
      <w:pPr>
        <w:pStyle w:val="2"/>
        <w:shd w:val="clear" w:color="auto" w:fill="auto"/>
        <w:spacing w:line="284" w:lineRule="exact"/>
      </w:pPr>
      <w:r>
        <w:rPr>
          <w:color w:val="000000"/>
          <w:sz w:val="24"/>
          <w:szCs w:val="24"/>
          <w:lang w:eastAsia="ru-RU" w:bidi="ru-RU"/>
        </w:rPr>
        <w:t>товара с предоставлением информации о стране происхождения, не соответствующей действительности.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Такие действия могут быть совершены в организациях, реализующих товары, выполняющих работы либо оказывающих услуги населению, а также индивидуальными предпринимателями в сфере торговли (услуг), как должностными лицами, так и иными работниками (например, продавцами или кассирами) указанных хозяйствующих субъектов (п. 14 Постановления Пленума Верховного Суда РФ от 24.10.2006 N 18).</w:t>
      </w:r>
      <w:proofErr w:type="gramEnd"/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</w:p>
    <w:p w:rsidR="000C47C0" w:rsidRDefault="000C47C0" w:rsidP="000C47C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98"/>
        </w:tabs>
        <w:ind w:firstLine="360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Действия потребителя в случае обмана</w:t>
      </w:r>
      <w:bookmarkEnd w:id="2"/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В случае обмана возможно принятие следующих действий.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Прежде </w:t>
      </w:r>
      <w:proofErr w:type="gramStart"/>
      <w:r>
        <w:rPr>
          <w:color w:val="000000"/>
          <w:sz w:val="24"/>
          <w:szCs w:val="24"/>
          <w:lang w:eastAsia="ru-RU" w:bidi="ru-RU"/>
        </w:rPr>
        <w:t>всего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целесообразно обратиться с письменной претензией к продавцу (изготовителю), допустившему обман. </w:t>
      </w:r>
      <w:proofErr w:type="gramStart"/>
      <w:r>
        <w:rPr>
          <w:color w:val="000000"/>
          <w:sz w:val="24"/>
          <w:szCs w:val="24"/>
          <w:lang w:eastAsia="ru-RU" w:bidi="ru-RU"/>
        </w:rPr>
        <w:t>Возможно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потребовать возмещения вреда, причиненного обманом, а в установленных законом случаях и уплаты неустойки (пени) (п. 1 ст. 1064, ст. 1095 ГК РФ; ст. 23 Закона N2300-1).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Также можно обратиться с жалобой в территориальный орган </w:t>
      </w:r>
      <w:proofErr w:type="spellStart"/>
      <w:r>
        <w:rPr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органы внутренних дел (полицию), в органы прокуратуры.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ГІо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результатам ее рассмотрения, проверки изложенных в ней фактов виновные лица могут быть привлечены, в частности, к административной ответственности за обман потребителей (п.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п. 1, 5.12 Положения, утв. Постановлением Правительства РФ от 30.06.2004 N 322; </w:t>
      </w:r>
      <w:proofErr w:type="spellStart"/>
      <w:r>
        <w:rPr>
          <w:color w:val="000000"/>
          <w:sz w:val="24"/>
          <w:szCs w:val="24"/>
          <w:lang w:eastAsia="ru-RU" w:bidi="ru-RU"/>
        </w:rPr>
        <w:t>пп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1 п. 2, п. 3.1, </w:t>
      </w:r>
      <w:proofErr w:type="spellStart"/>
      <w:r>
        <w:rPr>
          <w:color w:val="000000"/>
          <w:sz w:val="24"/>
          <w:szCs w:val="24"/>
          <w:lang w:eastAsia="ru-RU" w:bidi="ru-RU"/>
        </w:rPr>
        <w:t>пп</w:t>
      </w:r>
      <w:proofErr w:type="spellEnd"/>
      <w:r>
        <w:rPr>
          <w:color w:val="000000"/>
          <w:sz w:val="24"/>
          <w:szCs w:val="24"/>
          <w:lang w:eastAsia="ru-RU" w:bidi="ru-RU"/>
        </w:rPr>
        <w:t>. 5 п. 4 ст. 40 Закона N 2300-1;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ч. 1 ст. 23.49, п. 3 ч. 1 ст. 28.1, ч. 1, п. 1 ч. 2 ст. 28.3, ч. 1 ст. 28.4 КоАП РФ; п. 2 ст. 22, п. 3 ст. 27 Закона от 17.01.1992 N 2202- </w:t>
      </w:r>
      <w:r>
        <w:rPr>
          <w:rStyle w:val="ArialNarrow"/>
        </w:rPr>
        <w:t>1</w:t>
      </w:r>
      <w:r>
        <w:rPr>
          <w:rStyle w:val="Candara115pt"/>
        </w:rPr>
        <w:t>).</w:t>
      </w:r>
      <w:proofErr w:type="gramEnd"/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В случае возникновения угрозы причинения вреда жизни или здоровью граждан, причинения такого вреда, а также нарушения требований к маркировке </w:t>
      </w:r>
      <w:proofErr w:type="gramStart"/>
      <w:r>
        <w:rPr>
          <w:color w:val="000000"/>
          <w:sz w:val="24"/>
          <w:szCs w:val="24"/>
          <w:lang w:eastAsia="ru-RU" w:bidi="ru-RU"/>
        </w:rPr>
        <w:t>товара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возможно сразу обратиться с жалобой в </w:t>
      </w:r>
      <w:proofErr w:type="spellStart"/>
      <w:r>
        <w:rPr>
          <w:color w:val="000000"/>
          <w:sz w:val="24"/>
          <w:szCs w:val="24"/>
          <w:lang w:eastAsia="ru-RU" w:bidi="ru-RU"/>
        </w:rPr>
        <w:t>Роспотребнадзор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(п. 2 ч. 2 ст. 10 Закона от 26.12.2008 N 294-ФЗ; Информация </w:t>
      </w:r>
      <w:proofErr w:type="spellStart"/>
      <w:r>
        <w:rPr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от 07.12.2016; Информация </w:t>
      </w:r>
      <w:proofErr w:type="spellStart"/>
      <w:r>
        <w:rPr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"О порядке проведения проверок по обращениям граждан в </w:t>
      </w:r>
      <w:proofErr w:type="spellStart"/>
      <w:r>
        <w:rPr>
          <w:color w:val="000000"/>
          <w:sz w:val="24"/>
          <w:szCs w:val="24"/>
          <w:lang w:eastAsia="ru-RU" w:bidi="ru-RU"/>
        </w:rPr>
        <w:t>Роспотребнадзор</w:t>
      </w:r>
      <w:proofErr w:type="spellEnd"/>
      <w:r>
        <w:rPr>
          <w:color w:val="000000"/>
          <w:sz w:val="24"/>
          <w:szCs w:val="24"/>
          <w:lang w:eastAsia="ru-RU" w:bidi="ru-RU"/>
        </w:rPr>
        <w:t>").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 xml:space="preserve">Жалобу можно направить также в органы местного самоуправления и общественные объединения потребителей (их ассоциации, союзы), которые, в свою очередь, могут обратиться в уполномоченные органы государственной власти для проверки факта нарушения и </w:t>
      </w:r>
      <w:proofErr w:type="gramStart"/>
      <w:r>
        <w:rPr>
          <w:color w:val="000000"/>
          <w:sz w:val="24"/>
          <w:szCs w:val="24"/>
          <w:lang w:eastAsia="ru-RU" w:bidi="ru-RU"/>
        </w:rPr>
        <w:t>принятия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соответствующих мер (</w:t>
      </w:r>
      <w:proofErr w:type="spellStart"/>
      <w:r>
        <w:rPr>
          <w:color w:val="000000"/>
          <w:sz w:val="24"/>
          <w:szCs w:val="24"/>
          <w:lang w:eastAsia="ru-RU" w:bidi="ru-RU"/>
        </w:rPr>
        <w:t>абз</w:t>
      </w:r>
      <w:proofErr w:type="spellEnd"/>
      <w:r>
        <w:rPr>
          <w:color w:val="000000"/>
          <w:sz w:val="24"/>
          <w:szCs w:val="24"/>
          <w:lang w:eastAsia="ru-RU" w:bidi="ru-RU"/>
        </w:rPr>
        <w:t>. 2 ч. 1, ч. 2 ст. 44, п. 2 ст. 45 Закона N 2300-1).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Если организация или индивидуальный предприниматель, допустившие обман, отказались добровольно удовлетворить требования потребителя или не ответили на обращение, гражданин обратиться в суд с исковым заявлением о защите прав потребителя (п. 1 ст. 17 Закона N 2300-1).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Правом обращения в суд в целях защиты прав отдельных потребителей, а также интересов неопределенной группы потребителей наделены и должностные лица </w:t>
      </w:r>
      <w:proofErr w:type="spellStart"/>
      <w:r>
        <w:rPr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>
        <w:rPr>
          <w:color w:val="000000"/>
          <w:sz w:val="24"/>
          <w:szCs w:val="24"/>
          <w:lang w:eastAsia="ru-RU" w:bidi="ru-RU"/>
        </w:rPr>
        <w:t>, органы прокуратуры, органы местного самоуправления, общественные объединения потребителей (их ассоциации, союзы) (</w:t>
      </w:r>
      <w:proofErr w:type="spellStart"/>
      <w:r>
        <w:rPr>
          <w:color w:val="000000"/>
          <w:sz w:val="24"/>
          <w:szCs w:val="24"/>
          <w:lang w:eastAsia="ru-RU" w:bidi="ru-RU"/>
        </w:rPr>
        <w:t>пп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7 п. 4 ст. 40, </w:t>
      </w:r>
      <w:proofErr w:type="spellStart"/>
      <w:r>
        <w:rPr>
          <w:color w:val="000000"/>
          <w:sz w:val="24"/>
          <w:szCs w:val="24"/>
          <w:lang w:eastAsia="ru-RU" w:bidi="ru-RU"/>
        </w:rPr>
        <w:t>абз</w:t>
      </w:r>
      <w:proofErr w:type="spellEnd"/>
      <w:r>
        <w:rPr>
          <w:color w:val="000000"/>
          <w:sz w:val="24"/>
          <w:szCs w:val="24"/>
          <w:lang w:eastAsia="ru-RU" w:bidi="ru-RU"/>
        </w:rPr>
        <w:t>. 3 ч. 1 ст. 44, п. 2 ст. 45 Закона N 2300-1;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п. 4 ст. 27 Закона N 2202-1; ч. 1 ст. 45, ч. 1 ст. 46 ГПК РФ; п. п. 20, 21 Постановления Пленума Верховного Суда РФ от 28.06.2012 N 17).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</w:p>
    <w:p w:rsidR="000C47C0" w:rsidRDefault="000C47C0" w:rsidP="000C47C0">
      <w:pPr>
        <w:pStyle w:val="10"/>
        <w:keepNext/>
        <w:keepLines/>
        <w:numPr>
          <w:ilvl w:val="0"/>
          <w:numId w:val="1"/>
        </w:numPr>
        <w:shd w:val="clear" w:color="auto" w:fill="auto"/>
        <w:ind w:firstLine="360"/>
      </w:pPr>
      <w:bookmarkStart w:id="3" w:name="bookmark3"/>
      <w:r>
        <w:rPr>
          <w:color w:val="000000"/>
          <w:sz w:val="24"/>
          <w:szCs w:val="24"/>
          <w:lang w:eastAsia="ru-RU" w:bidi="ru-RU"/>
        </w:rPr>
        <w:t xml:space="preserve"> Какова ответственность за неприменение контрольно-кассовой техники?</w:t>
      </w:r>
      <w:bookmarkEnd w:id="3"/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proofErr w:type="gramStart"/>
      <w:r>
        <w:rPr>
          <w:rStyle w:val="a8"/>
        </w:rPr>
        <w:t xml:space="preserve">Ответ: </w:t>
      </w:r>
      <w:r>
        <w:rPr>
          <w:color w:val="000000"/>
          <w:sz w:val="24"/>
          <w:szCs w:val="24"/>
          <w:lang w:eastAsia="ru-RU" w:bidi="ru-RU"/>
        </w:rPr>
        <w:t>согласно пункту 1 статьи 1.2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(далее - Федеральный закон N 54-ФЗ)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случаев, установленных настоящим Федеральным законом.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proofErr w:type="gramStart"/>
      <w:r>
        <w:rPr>
          <w:color w:val="000000"/>
          <w:sz w:val="24"/>
          <w:szCs w:val="24"/>
          <w:lang w:eastAsia="ru-RU" w:bidi="ru-RU"/>
        </w:rPr>
        <w:t>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gramStart"/>
      <w:r>
        <w:rPr>
          <w:color w:val="000000"/>
          <w:sz w:val="24"/>
          <w:szCs w:val="24"/>
          <w:lang w:eastAsia="ru-RU" w:bidi="ru-RU"/>
        </w:rPr>
        <w:t>клиенту) в электронной форме на адрес электронной почты), если иное не установлено настоящим Федеральным законом (пункт 2 статьи 1.2 Федерального закона N 54-ФЗ).</w:t>
      </w:r>
      <w:proofErr w:type="gramEnd"/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Осуществление расчетов без применения контрольно-кассовой техники является нарушением законодательства Российской Федерации о применении контрольно-кассовой техники и предусматривает административную ответственность по части 2 статьи 14.5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К</w:t>
      </w:r>
      <w:proofErr w:type="gramEnd"/>
      <w:r>
        <w:rPr>
          <w:color w:val="000000"/>
          <w:sz w:val="24"/>
          <w:szCs w:val="24"/>
          <w:lang w:eastAsia="ru-RU" w:bidi="ru-RU"/>
        </w:rPr>
        <w:t>о АП РФ.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Неприменение контрольно-кассовой техники в установленных законодательством Российской Федерации о применении </w:t>
      </w:r>
      <w:proofErr w:type="spellStart"/>
      <w:r>
        <w:rPr>
          <w:color w:val="000000"/>
          <w:sz w:val="24"/>
          <w:szCs w:val="24"/>
          <w:lang w:eastAsia="ru-RU" w:bidi="ru-RU"/>
        </w:rPr>
        <w:t>контрольно</w:t>
      </w:r>
      <w:r>
        <w:rPr>
          <w:color w:val="000000"/>
          <w:sz w:val="24"/>
          <w:szCs w:val="24"/>
          <w:lang w:eastAsia="ru-RU" w:bidi="ru-RU"/>
        </w:rPr>
        <w:softHyphen/>
        <w:t>кассовой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техники случаях влечет наложение административного штрафа на должностных лиц в размере от одной четвертой </w:t>
      </w:r>
      <w:r>
        <w:rPr>
          <w:color w:val="000000"/>
          <w:sz w:val="24"/>
          <w:szCs w:val="24"/>
          <w:lang w:eastAsia="ru-RU" w:bidi="ru-RU"/>
        </w:rPr>
        <w:lastRenderedPageBreak/>
        <w:t>до одной второй размера суммы расчета, осуществленного без применения контрольно-кассовой техники, но не менее десяти тысяч рублей;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>
        <w:rPr>
          <w:color w:val="000000"/>
          <w:sz w:val="24"/>
          <w:szCs w:val="24"/>
          <w:lang w:eastAsia="ru-RU" w:bidi="ru-RU"/>
        </w:rPr>
        <w:t>дств пл</w:t>
      </w:r>
      <w:proofErr w:type="gramEnd"/>
      <w:r>
        <w:rPr>
          <w:color w:val="000000"/>
          <w:sz w:val="24"/>
          <w:szCs w:val="24"/>
          <w:lang w:eastAsia="ru-RU" w:bidi="ru-RU"/>
        </w:rPr>
        <w:t>атежа без применения контрольно-кассовой техники, но не менее тридцати тысяч рублей.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bookmarkStart w:id="4" w:name="_GoBack"/>
      <w:bookmarkEnd w:id="4"/>
    </w:p>
    <w:p w:rsidR="000C47C0" w:rsidRDefault="000C47C0" w:rsidP="000C47C0">
      <w:pPr>
        <w:pStyle w:val="10"/>
        <w:keepNext/>
        <w:keepLines/>
        <w:numPr>
          <w:ilvl w:val="0"/>
          <w:numId w:val="1"/>
        </w:numPr>
        <w:shd w:val="clear" w:color="auto" w:fill="auto"/>
        <w:ind w:firstLine="360"/>
      </w:pPr>
      <w:bookmarkStart w:id="5" w:name="bookmark4"/>
      <w:r>
        <w:rPr>
          <w:color w:val="000000"/>
          <w:sz w:val="24"/>
          <w:szCs w:val="24"/>
          <w:lang w:eastAsia="ru-RU" w:bidi="ru-RU"/>
        </w:rPr>
        <w:t xml:space="preserve"> Какова ответственность за отказ в приеме банкнот Банка России?</w:t>
      </w:r>
      <w:bookmarkEnd w:id="5"/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rStyle w:val="a8"/>
        </w:rPr>
        <w:t xml:space="preserve">Ответ: </w:t>
      </w:r>
      <w:r>
        <w:rPr>
          <w:color w:val="000000"/>
          <w:sz w:val="24"/>
          <w:szCs w:val="24"/>
          <w:lang w:eastAsia="ru-RU" w:bidi="ru-RU"/>
        </w:rPr>
        <w:t xml:space="preserve">С 12 октября 2017 года Банком России в обращение </w:t>
      </w:r>
      <w:proofErr w:type="gramStart"/>
      <w:r>
        <w:rPr>
          <w:color w:val="000000"/>
          <w:sz w:val="24"/>
          <w:szCs w:val="24"/>
          <w:lang w:eastAsia="ru-RU" w:bidi="ru-RU"/>
        </w:rPr>
        <w:t>введены</w:t>
      </w:r>
      <w:proofErr w:type="gramEnd"/>
    </w:p>
    <w:p w:rsidR="000C47C0" w:rsidRDefault="000C47C0" w:rsidP="000C47C0">
      <w:pPr>
        <w:pStyle w:val="2"/>
        <w:shd w:val="clear" w:color="auto" w:fill="auto"/>
        <w:spacing w:line="297" w:lineRule="exact"/>
      </w:pPr>
      <w:r>
        <w:rPr>
          <w:color w:val="000000"/>
          <w:sz w:val="24"/>
          <w:szCs w:val="24"/>
          <w:lang w:eastAsia="ru-RU" w:bidi="ru-RU"/>
        </w:rPr>
        <w:t>банкноты номиналом 200 и 2000 рублей.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пунктом 1 статьи 140 Гражданского кодекса Российской Федерации рубль является законным платежным средством, обязательным к приему по нарицательной стоимости на всей территории Российской Федерации, а согласно статье 30 Федерального закона «О Центральном банке Российской Федерации (Банке России)» банкноты Банка России обязательны к приему по нарицательной стоимости при осуществлении всех видов платежей, для зачисления на счета, во вклады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для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перевода на всей территории Российской Федерации, новые банкноты подлежат безусловному приему в счет оплаты.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При отказе хозяйствующего субъекта в приеме вышеуказанных банкнот, потребителю стоит обратить внимание такого субъекта на следующие положения законодательства в сфере защиты прав потребителей: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Согласно положениям пункта 1 статьи 16.1 Закона Российской Федерации «О защите прав потребителей» 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 При этом подразумевается, что выбор банкнот Банка России (также как и монет Банка России) из числа находящихся в официальном обращении для осуществления наличных расчетов принадлежит потребителю.</w:t>
      </w:r>
    </w:p>
    <w:p w:rsidR="000C47C0" w:rsidRDefault="000C47C0" w:rsidP="000C47C0">
      <w:pPr>
        <w:pStyle w:val="2"/>
        <w:shd w:val="clear" w:color="auto" w:fill="auto"/>
        <w:tabs>
          <w:tab w:val="left" w:pos="2897"/>
          <w:tab w:val="left" w:pos="6715"/>
        </w:tabs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Таким образом,</w:t>
      </w:r>
      <w:r>
        <w:rPr>
          <w:color w:val="000000"/>
          <w:sz w:val="24"/>
          <w:szCs w:val="24"/>
          <w:lang w:eastAsia="ru-RU" w:bidi="ru-RU"/>
        </w:rPr>
        <w:tab/>
        <w:t>отказ продавца (исполнителя)</w:t>
      </w:r>
      <w:r>
        <w:rPr>
          <w:color w:val="000000"/>
          <w:sz w:val="24"/>
          <w:szCs w:val="24"/>
          <w:lang w:eastAsia="ru-RU" w:bidi="ru-RU"/>
        </w:rPr>
        <w:tab/>
        <w:t xml:space="preserve">в приеме </w:t>
      </w:r>
      <w:proofErr w:type="gramStart"/>
      <w:r>
        <w:rPr>
          <w:color w:val="000000"/>
          <w:sz w:val="24"/>
          <w:szCs w:val="24"/>
          <w:lang w:eastAsia="ru-RU" w:bidi="ru-RU"/>
        </w:rPr>
        <w:t>новых</w:t>
      </w:r>
      <w:proofErr w:type="gramEnd"/>
    </w:p>
    <w:p w:rsidR="000C47C0" w:rsidRDefault="000C47C0" w:rsidP="000C47C0">
      <w:pPr>
        <w:pStyle w:val="2"/>
        <w:shd w:val="clear" w:color="auto" w:fill="auto"/>
        <w:spacing w:line="297" w:lineRule="exact"/>
      </w:pPr>
      <w:r>
        <w:rPr>
          <w:color w:val="000000"/>
          <w:sz w:val="24"/>
          <w:szCs w:val="24"/>
          <w:lang w:eastAsia="ru-RU" w:bidi="ru-RU"/>
        </w:rPr>
        <w:t xml:space="preserve">обладающих всеми установленными признаками платежеспособности банкнот Банка России номиналом 200 и/или 2000 рублей в счет оплаты тех или иных товаров (услуг) должен рассматриваться как противоправное действие, ущемляющее права потребителей и необоснованно </w:t>
      </w:r>
      <w:proofErr w:type="spellStart"/>
      <w:r>
        <w:rPr>
          <w:color w:val="000000"/>
          <w:sz w:val="24"/>
          <w:szCs w:val="24"/>
          <w:lang w:eastAsia="ru-RU" w:bidi="ru-RU"/>
        </w:rPr>
        <w:t>воспрепятствующее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заключению договора купли-продажи (договора возмездного оказания услуг).</w:t>
      </w:r>
    </w:p>
    <w:p w:rsidR="000C47C0" w:rsidRDefault="000C47C0" w:rsidP="000C47C0">
      <w:pPr>
        <w:pStyle w:val="2"/>
        <w:shd w:val="clear" w:color="auto" w:fill="auto"/>
        <w:tabs>
          <w:tab w:val="left" w:pos="3362"/>
          <w:tab w:val="left" w:pos="5795"/>
          <w:tab w:val="left" w:pos="6715"/>
        </w:tabs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В соответствии со ст. 426 ГК РФ, договор розничной купли продажи относится к публичным</w:t>
      </w:r>
      <w:r>
        <w:rPr>
          <w:color w:val="000000"/>
          <w:sz w:val="24"/>
          <w:szCs w:val="24"/>
          <w:lang w:eastAsia="ru-RU" w:bidi="ru-RU"/>
        </w:rPr>
        <w:tab/>
        <w:t>договорам. Отказ</w:t>
      </w:r>
      <w:r>
        <w:rPr>
          <w:color w:val="000000"/>
          <w:sz w:val="24"/>
          <w:szCs w:val="24"/>
          <w:lang w:eastAsia="ru-RU" w:bidi="ru-RU"/>
        </w:rPr>
        <w:tab/>
        <w:t>лица,</w:t>
      </w:r>
      <w:r>
        <w:rPr>
          <w:color w:val="000000"/>
          <w:sz w:val="24"/>
          <w:szCs w:val="24"/>
          <w:lang w:eastAsia="ru-RU" w:bidi="ru-RU"/>
        </w:rPr>
        <w:tab/>
        <w:t>осуществляющего</w:t>
      </w:r>
    </w:p>
    <w:p w:rsidR="000C47C0" w:rsidRDefault="000C47C0" w:rsidP="000C47C0">
      <w:pPr>
        <w:pStyle w:val="2"/>
        <w:shd w:val="clear" w:color="auto" w:fill="auto"/>
        <w:tabs>
          <w:tab w:val="left" w:pos="2897"/>
          <w:tab w:val="left" w:pos="3362"/>
          <w:tab w:val="left" w:pos="5852"/>
          <w:tab w:val="left" w:pos="6738"/>
        </w:tabs>
        <w:spacing w:line="297" w:lineRule="exact"/>
      </w:pPr>
      <w:r>
        <w:rPr>
          <w:color w:val="000000"/>
          <w:sz w:val="24"/>
          <w:szCs w:val="24"/>
          <w:lang w:eastAsia="ru-RU" w:bidi="ru-RU"/>
        </w:rPr>
        <w:t>предпринимательскую</w:t>
      </w:r>
      <w:r>
        <w:rPr>
          <w:color w:val="000000"/>
          <w:sz w:val="24"/>
          <w:szCs w:val="24"/>
          <w:lang w:eastAsia="ru-RU" w:bidi="ru-RU"/>
        </w:rPr>
        <w:tab/>
        <w:t>или</w:t>
      </w:r>
      <w:r>
        <w:rPr>
          <w:color w:val="000000"/>
          <w:sz w:val="24"/>
          <w:szCs w:val="24"/>
          <w:lang w:eastAsia="ru-RU" w:bidi="ru-RU"/>
        </w:rPr>
        <w:tab/>
        <w:t>иную приносящую</w:t>
      </w:r>
      <w:r>
        <w:rPr>
          <w:color w:val="000000"/>
          <w:sz w:val="24"/>
          <w:szCs w:val="24"/>
          <w:lang w:eastAsia="ru-RU" w:bidi="ru-RU"/>
        </w:rPr>
        <w:tab/>
        <w:t>доход</w:t>
      </w:r>
      <w:r>
        <w:rPr>
          <w:color w:val="000000"/>
          <w:sz w:val="24"/>
          <w:szCs w:val="24"/>
          <w:lang w:eastAsia="ru-RU" w:bidi="ru-RU"/>
        </w:rPr>
        <w:tab/>
        <w:t xml:space="preserve">деятельность, </w:t>
      </w:r>
      <w:proofErr w:type="gramStart"/>
      <w:r>
        <w:rPr>
          <w:color w:val="000000"/>
          <w:sz w:val="24"/>
          <w:szCs w:val="24"/>
          <w:lang w:eastAsia="ru-RU" w:bidi="ru-RU"/>
        </w:rPr>
        <w:t>от</w:t>
      </w:r>
      <w:proofErr w:type="gramEnd"/>
    </w:p>
    <w:p w:rsidR="000C47C0" w:rsidRDefault="000C47C0" w:rsidP="000C47C0">
      <w:pPr>
        <w:pStyle w:val="2"/>
        <w:shd w:val="clear" w:color="auto" w:fill="auto"/>
        <w:spacing w:line="297" w:lineRule="exact"/>
      </w:pPr>
      <w:r>
        <w:rPr>
          <w:color w:val="000000"/>
          <w:sz w:val="24"/>
          <w:szCs w:val="24"/>
          <w:lang w:eastAsia="ru-RU" w:bidi="ru-RU"/>
        </w:rPr>
        <w:t>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</w:r>
    </w:p>
    <w:p w:rsidR="000C47C0" w:rsidRDefault="000C47C0" w:rsidP="000C47C0">
      <w:pPr>
        <w:pStyle w:val="2"/>
        <w:shd w:val="clear" w:color="auto" w:fill="auto"/>
        <w:tabs>
          <w:tab w:val="left" w:pos="2897"/>
          <w:tab w:val="left" w:pos="3364"/>
          <w:tab w:val="left" w:pos="5852"/>
          <w:tab w:val="left" w:pos="6745"/>
        </w:tabs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При необоснованном уклонении лица, осуществляющего предпринимательскую</w:t>
      </w:r>
      <w:r>
        <w:rPr>
          <w:color w:val="000000"/>
          <w:sz w:val="24"/>
          <w:szCs w:val="24"/>
          <w:lang w:eastAsia="ru-RU" w:bidi="ru-RU"/>
        </w:rPr>
        <w:tab/>
        <w:t>или</w:t>
      </w:r>
      <w:r>
        <w:rPr>
          <w:color w:val="000000"/>
          <w:sz w:val="24"/>
          <w:szCs w:val="24"/>
          <w:lang w:eastAsia="ru-RU" w:bidi="ru-RU"/>
        </w:rPr>
        <w:tab/>
        <w:t>иную приносящую</w:t>
      </w:r>
      <w:r>
        <w:rPr>
          <w:color w:val="000000"/>
          <w:sz w:val="24"/>
          <w:szCs w:val="24"/>
          <w:lang w:eastAsia="ru-RU" w:bidi="ru-RU"/>
        </w:rPr>
        <w:tab/>
        <w:t>доход</w:t>
      </w:r>
      <w:r>
        <w:rPr>
          <w:color w:val="000000"/>
          <w:sz w:val="24"/>
          <w:szCs w:val="24"/>
          <w:lang w:eastAsia="ru-RU" w:bidi="ru-RU"/>
        </w:rPr>
        <w:tab/>
        <w:t xml:space="preserve">деятельность, </w:t>
      </w:r>
      <w:proofErr w:type="gramStart"/>
      <w:r>
        <w:rPr>
          <w:color w:val="000000"/>
          <w:sz w:val="24"/>
          <w:szCs w:val="24"/>
          <w:lang w:eastAsia="ru-RU" w:bidi="ru-RU"/>
        </w:rPr>
        <w:t>от</w:t>
      </w:r>
      <w:proofErr w:type="gramEnd"/>
    </w:p>
    <w:p w:rsidR="000C47C0" w:rsidRDefault="000C47C0" w:rsidP="000C47C0">
      <w:pPr>
        <w:pStyle w:val="2"/>
        <w:shd w:val="clear" w:color="auto" w:fill="auto"/>
        <w:spacing w:line="297" w:lineRule="exact"/>
      </w:pPr>
      <w:r>
        <w:rPr>
          <w:color w:val="000000"/>
          <w:sz w:val="24"/>
          <w:szCs w:val="24"/>
          <w:lang w:eastAsia="ru-RU" w:bidi="ru-RU"/>
        </w:rPr>
        <w:t>заключения публичного договора применяются положения, предусмотренные пунктом 4 статьи 445 настоящего Кодекса.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Пунктом 4 ст. 445 ГК РФ предусмотрено, что если сторона, для которой в соответствии с настоящим Кодексом или иными законами заключение договора обязательно, уклоняется от его заключения, другая сторона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lastRenderedPageBreak/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защиты потребителем своих прав в судебном порядке, помимо требования о понуждении заключить договор и возмещении убытков (при их наличии), потребитель, в соответствии со ст. 15 Закона Российской Федерации «О защите прав потребителей», вправе потребовать так же компенсации морального вреда, размер которой определяется судом и не зависит от размера возмещения имущественного вреда.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Согласно п. 6 ст. 13 Закона, при удовлетворении судом требований потребителя, установленных законом, суд взыскивает с продавца (исполнителя) за несоблюдение </w:t>
      </w:r>
      <w:proofErr w:type="gramStart"/>
      <w:r>
        <w:rPr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добровольном</w:t>
      </w:r>
    </w:p>
    <w:p w:rsidR="000C47C0" w:rsidRDefault="000C47C0" w:rsidP="000C47C0">
      <w:pPr>
        <w:pStyle w:val="2"/>
        <w:shd w:val="clear" w:color="auto" w:fill="auto"/>
        <w:spacing w:line="297" w:lineRule="exact"/>
      </w:pPr>
      <w:proofErr w:type="gramStart"/>
      <w:r>
        <w:rPr>
          <w:color w:val="000000"/>
          <w:sz w:val="24"/>
          <w:szCs w:val="24"/>
          <w:lang w:eastAsia="ru-RU" w:bidi="ru-RU"/>
        </w:rPr>
        <w:t>порядке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proofErr w:type="gramStart"/>
      <w:r>
        <w:rPr>
          <w:color w:val="000000"/>
          <w:sz w:val="24"/>
          <w:szCs w:val="24"/>
          <w:lang w:eastAsia="ru-RU" w:bidi="ru-RU"/>
        </w:rPr>
        <w:t>Помимо возложения на продавцов и исполнителей вышеописанной гражданско-правовой ответственности, при отказе в приеме банкнот нового образца, в зависимости от сопутствующих им конкретных обстоятельств такие действия могут иметь признаки административных правонарушений, предусмотренных частями 2 и 4 статьи 14.8 Кодекса Российской Федерации об административных правонарушениях («включение в договор условий, ущемляющих права потребителя, установленные законодательством о защите прав потребителей») и («неисполнение обязанности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в соответствии с федеральным законом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услуг)»), с наложением на виновных лиц административного штрафа, максимальный размер которого может достигать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пятидесяти тысяч рублей.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Аналогичные правовые последствия влечет и отказ хозяйствующих субъектов в приеме ветхих купюр, мелких, поврежденных монет.</w:t>
      </w:r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Указанием Банка России от 26.12.2006 N 1778-У "О признаках платежеспособности и правилах обмена банкнот и монеты Банка России", платежеспособными являются банкноты и монета Банка России, имеющие силу законного средства наличного платежа на территории Российской Федерации (в том числе изымаемые из обращения), не содержащие признаков подделки, без повреждений или имеющие повреждения следующего характера:</w:t>
      </w:r>
      <w:proofErr w:type="gramEnd"/>
    </w:p>
    <w:p w:rsidR="000C47C0" w:rsidRDefault="000C47C0" w:rsidP="000C47C0">
      <w:pPr>
        <w:pStyle w:val="2"/>
        <w:shd w:val="clear" w:color="auto" w:fill="auto"/>
        <w:spacing w:line="297" w:lineRule="exact"/>
        <w:ind w:firstLine="360"/>
      </w:pPr>
      <w:proofErr w:type="gramStart"/>
      <w:r>
        <w:rPr>
          <w:color w:val="000000"/>
          <w:sz w:val="24"/>
          <w:szCs w:val="24"/>
          <w:lang w:eastAsia="ru-RU" w:bidi="ru-RU"/>
        </w:rPr>
        <w:t>- банкноты Банка России: загрязненные, изношенные, надорванные; имеющие потертости, небольшие отверстия, проколы, посторонние надписи, пятна, оттиски штампов; утратившие углы, края; - монета Банка России, имеющая мелкие механические повреждения.</w:t>
      </w:r>
      <w:proofErr w:type="gramEnd"/>
    </w:p>
    <w:p w:rsidR="000C47C0" w:rsidRDefault="000C47C0" w:rsidP="000C47C0">
      <w:pPr>
        <w:jc w:val="both"/>
      </w:pPr>
    </w:p>
    <w:sectPr w:rsidR="000C47C0">
      <w:footerReference w:type="even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CA" w:rsidRDefault="000C47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B670A1" wp14:editId="750BAD06">
              <wp:simplePos x="0" y="0"/>
              <wp:positionH relativeFrom="page">
                <wp:posOffset>3720465</wp:posOffset>
              </wp:positionH>
              <wp:positionV relativeFrom="page">
                <wp:posOffset>9995535</wp:posOffset>
              </wp:positionV>
              <wp:extent cx="61595" cy="147320"/>
              <wp:effectExtent l="0" t="381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BCA" w:rsidRDefault="000C47C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94F3D">
                            <w:rPr>
                              <w:rStyle w:val="a4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2.95pt;margin-top:787.05pt;width:4.85pt;height:11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" filled="f" stroked="f">
              <v:textbox style="mso-fit-shape-to-text:t" inset="0,0,0,0">
                <w:txbxContent>
                  <w:p w:rsidR="00556BCA" w:rsidRDefault="000C47C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94F3D">
                      <w:rPr>
                        <w:rStyle w:val="a4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CA" w:rsidRDefault="000C47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6763649" wp14:editId="000D4658">
              <wp:simplePos x="0" y="0"/>
              <wp:positionH relativeFrom="page">
                <wp:posOffset>3600450</wp:posOffset>
              </wp:positionH>
              <wp:positionV relativeFrom="page">
                <wp:posOffset>9995535</wp:posOffset>
              </wp:positionV>
              <wp:extent cx="61595" cy="147320"/>
              <wp:effectExtent l="0" t="3810" r="63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BCA" w:rsidRDefault="000C47C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C47C0">
                            <w:rPr>
                              <w:rStyle w:val="a4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83.5pt;margin-top:787.05pt;width:4.85pt;height:11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" filled="f" stroked="f">
              <v:textbox style="mso-fit-shape-to-text:t" inset="0,0,0,0">
                <w:txbxContent>
                  <w:p w:rsidR="00556BCA" w:rsidRDefault="000C47C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C47C0">
                      <w:rPr>
                        <w:rStyle w:val="a4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CA" w:rsidRDefault="000C47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BF9A588" wp14:editId="1350310B">
              <wp:simplePos x="0" y="0"/>
              <wp:positionH relativeFrom="page">
                <wp:posOffset>1973580</wp:posOffset>
              </wp:positionH>
              <wp:positionV relativeFrom="page">
                <wp:posOffset>636905</wp:posOffset>
              </wp:positionV>
              <wp:extent cx="502285" cy="100965"/>
              <wp:effectExtent l="1905" t="0" r="63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BCA" w:rsidRDefault="000C47C0">
                          <w:pPr>
                            <w:tabs>
                              <w:tab w:val="right" w:pos="791"/>
                            </w:tabs>
                          </w:pPr>
                          <w:r>
                            <w:rPr>
                              <w:rStyle w:val="TimesNewRoman4pt"/>
                              <w:rFonts w:eastAsia="Candara"/>
                            </w:rPr>
                            <w:t>Г</w:t>
                          </w:r>
                          <w:r>
                            <w:rPr>
                              <w:rStyle w:val="Candara65pt"/>
                            </w:rPr>
                            <w:tab/>
                            <w:t xml:space="preserve">  ^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155.4pt;margin-top:50.15pt;width:39.55pt;height:7.9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3I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" filled="f" stroked="f">
              <v:textbox style="mso-fit-shape-to-text:t" inset="0,0,0,0">
                <w:txbxContent>
                  <w:p w:rsidR="00556BCA" w:rsidRDefault="000C47C0">
                    <w:pPr>
                      <w:tabs>
                        <w:tab w:val="right" w:pos="791"/>
                      </w:tabs>
                    </w:pPr>
                    <w:r>
                      <w:rPr>
                        <w:rStyle w:val="TimesNewRoman4pt"/>
                        <w:rFonts w:eastAsia="Candara"/>
                      </w:rPr>
                      <w:t>Г</w:t>
                    </w:r>
                    <w:r>
                      <w:rPr>
                        <w:rStyle w:val="Candara65pt"/>
                      </w:rPr>
                      <w:tab/>
                      <w:t xml:space="preserve">  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B2F"/>
    <w:multiLevelType w:val="multilevel"/>
    <w:tmpl w:val="3ED27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83B48"/>
    <w:multiLevelType w:val="multilevel"/>
    <w:tmpl w:val="18665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C0"/>
    <w:rsid w:val="000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0C47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4pt">
    <w:name w:val="Колонтитул + Times New Roman;4 pt;Курсив"/>
    <w:basedOn w:val="a3"/>
    <w:rsid w:val="000C4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ndara65pt">
    <w:name w:val="Колонтитул + Candara;6;5 pt"/>
    <w:basedOn w:val="a3"/>
    <w:rsid w:val="000C47C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Колонтитул"/>
    <w:basedOn w:val="a3"/>
    <w:rsid w:val="000C47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0C47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0C47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C47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 + Полужирный"/>
    <w:basedOn w:val="a5"/>
    <w:rsid w:val="000C47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;Полужирный"/>
    <w:basedOn w:val="a5"/>
    <w:rsid w:val="000C47C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andara115pt">
    <w:name w:val="Основной текст + Candara;11;5 pt"/>
    <w:basedOn w:val="a5"/>
    <w:rsid w:val="000C47C0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47C0"/>
    <w:rPr>
      <w:rFonts w:ascii="Arial Narrow" w:eastAsia="Arial Narrow" w:hAnsi="Arial Narrow" w:cs="Arial Narrow"/>
      <w:shd w:val="clear" w:color="auto" w:fill="FFFFFF"/>
    </w:rPr>
  </w:style>
  <w:style w:type="paragraph" w:customStyle="1" w:styleId="2">
    <w:name w:val="Основной текст2"/>
    <w:basedOn w:val="a"/>
    <w:link w:val="a5"/>
    <w:rsid w:val="000C47C0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0C47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0C47C0"/>
    <w:pPr>
      <w:shd w:val="clear" w:color="auto" w:fill="FFFFFF"/>
      <w:spacing w:line="297" w:lineRule="exac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C47C0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0C47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4pt">
    <w:name w:val="Колонтитул + Times New Roman;4 pt;Курсив"/>
    <w:basedOn w:val="a3"/>
    <w:rsid w:val="000C4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ndara65pt">
    <w:name w:val="Колонтитул + Candara;6;5 pt"/>
    <w:basedOn w:val="a3"/>
    <w:rsid w:val="000C47C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Колонтитул"/>
    <w:basedOn w:val="a3"/>
    <w:rsid w:val="000C47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0C47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0C47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C47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 + Полужирный"/>
    <w:basedOn w:val="a5"/>
    <w:rsid w:val="000C47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;Полужирный"/>
    <w:basedOn w:val="a5"/>
    <w:rsid w:val="000C47C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andara115pt">
    <w:name w:val="Основной текст + Candara;11;5 pt"/>
    <w:basedOn w:val="a5"/>
    <w:rsid w:val="000C47C0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47C0"/>
    <w:rPr>
      <w:rFonts w:ascii="Arial Narrow" w:eastAsia="Arial Narrow" w:hAnsi="Arial Narrow" w:cs="Arial Narrow"/>
      <w:shd w:val="clear" w:color="auto" w:fill="FFFFFF"/>
    </w:rPr>
  </w:style>
  <w:style w:type="paragraph" w:customStyle="1" w:styleId="2">
    <w:name w:val="Основной текст2"/>
    <w:basedOn w:val="a"/>
    <w:link w:val="a5"/>
    <w:rsid w:val="000C47C0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0C47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0C47C0"/>
    <w:pPr>
      <w:shd w:val="clear" w:color="auto" w:fill="FFFFFF"/>
      <w:spacing w:line="297" w:lineRule="exac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C47C0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2018-09-12T08:43:00Z</dcterms:created>
  <dcterms:modified xsi:type="dcterms:W3CDTF">2018-09-12T08:48:00Z</dcterms:modified>
</cp:coreProperties>
</file>